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96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bookmarkStart w:id="0" w:name="_GoBack"/>
            <w:bookmarkEnd w:id="0"/>
            <w:r w:rsidRPr="00DE0E6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</w:t>
            </w:r>
            <w:r w:rsidRPr="00DE0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Содержание </w:t>
            </w:r>
            <w:proofErr w:type="spellStart"/>
            <w:r w:rsidRPr="00DE0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воспитательн</w:t>
            </w:r>
            <w:proofErr w:type="spellEnd"/>
            <w:r w:rsidRPr="00DE0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     -       образовательной работы.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Физическое развитие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Здоровье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Воспитание КГН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начальных представлений о ЗОЖ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физических качеств, накопление и обогащение двигательного опыта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потребности в двигательной активности и физическом совершенствовании</w:t>
            </w:r>
          </w:p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Социально-личностное развитие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Социализация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игровой деятельности: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сюжетно-ролевая игра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подвижная игра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театрализованная игра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дидактическая игра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Приобщение к элементарным общепринятым нормам и правилам взаимоотношения со сверстниками и взрослыми (в </w:t>
            </w:r>
            <w:proofErr w:type="spellStart"/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моральным)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образ 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семья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детский сад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родная страна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Труд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трудовой деятельности: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самообслуживание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хозяйственно-бытовой труд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труд в природе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Безопасность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основ безопасности собственной жизнедеятельности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правилах безопасности дорожного движения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предпосылок экологического сознания</w:t>
            </w:r>
          </w:p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Познавательно-речевое развитие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Познание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Сенсорное развитие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познавательно-исследовательской и продуктивной деятельности: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конструирование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продуктивная деятельность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lastRenderedPageBreak/>
              <w:t>ФЭМП: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количество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величина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форма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ориентировка в пространстве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ориентировка во времени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целостной картины мира, расширение кругозора: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предметное и социальное окружение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ознакомление с природой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Коммуникация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свободного общения со взрослыми и детьми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всех компонентов устной речи, практическое овладение нормами речи: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формирование словаря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звуковая культура речи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грамматический строй речи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связная речь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Чтение художественной литературы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интереса и потребности в чтении</w:t>
            </w:r>
          </w:p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Художественно-эстетическое развитие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Художественное творчество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продуктивной деятельности: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рисование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лепка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аппликация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детского творчества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Приобщение к изобразительному искусству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Музыка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музыкально-художественной деятельности, приобщение к музыкальному искусству: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слушание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пение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песенное творчество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музыкально-ритмические движения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развитие танцевально-игрового творчества</w:t>
            </w:r>
          </w:p>
        </w:tc>
      </w:tr>
      <w:tr w:rsidR="00DE0E6F" w:rsidRPr="00DE0E6F" w:rsidTr="00DE0E6F">
        <w:tc>
          <w:tcPr>
            <w:tcW w:w="10485" w:type="dxa"/>
            <w:hideMark/>
          </w:tcPr>
          <w:p w:rsidR="00DE0E6F" w:rsidRPr="00DE0E6F" w:rsidRDefault="00DE0E6F" w:rsidP="00DE0E6F">
            <w:pPr>
              <w:spacing w:before="100" w:beforeAutospacing="1" w:after="100" w:afterAutospacing="1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E0E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игра на детских музыкальных инструментах</w:t>
            </w:r>
          </w:p>
        </w:tc>
      </w:tr>
    </w:tbl>
    <w:p w:rsidR="00DE0E6F" w:rsidRDefault="00DE0E6F" w:rsidP="00DE0E6F"/>
    <w:p w:rsidR="00DE0E6F" w:rsidRDefault="00DE0E6F" w:rsidP="00DE0E6F"/>
    <w:p w:rsidR="00DE0E6F" w:rsidRDefault="00DE0E6F" w:rsidP="00DE0E6F"/>
    <w:p w:rsidR="00DE0E6F" w:rsidRDefault="00DE0E6F" w:rsidP="00DE0E6F">
      <w:r>
        <w:t>Приобщение к изобразительному искусству</w:t>
      </w:r>
    </w:p>
    <w:p w:rsidR="00DE0E6F" w:rsidRDefault="00DE0E6F" w:rsidP="00DE0E6F">
      <w:r>
        <w:t xml:space="preserve"> </w:t>
      </w:r>
    </w:p>
    <w:p w:rsidR="00DE0E6F" w:rsidRDefault="00DE0E6F" w:rsidP="00DE0E6F"/>
    <w:p w:rsidR="00DE0E6F" w:rsidRDefault="00DE0E6F" w:rsidP="00DE0E6F">
      <w:r>
        <w:lastRenderedPageBreak/>
        <w:t>Музыка</w:t>
      </w:r>
    </w:p>
    <w:p w:rsidR="00DE0E6F" w:rsidRDefault="00DE0E6F" w:rsidP="00DE0E6F">
      <w:r>
        <w:t xml:space="preserve"> </w:t>
      </w:r>
    </w:p>
    <w:p w:rsidR="00DE0E6F" w:rsidRDefault="00DE0E6F" w:rsidP="00DE0E6F"/>
    <w:p w:rsidR="00DE0E6F" w:rsidRDefault="00DE0E6F" w:rsidP="00DE0E6F">
      <w:r>
        <w:t>Развитие музыкально-художественной деятельности, приобщение к музыкальному искусству:</w:t>
      </w:r>
    </w:p>
    <w:p w:rsidR="00DE0E6F" w:rsidRDefault="00DE0E6F" w:rsidP="00DE0E6F">
      <w:r>
        <w:t xml:space="preserve"> </w:t>
      </w:r>
    </w:p>
    <w:p w:rsidR="00DE0E6F" w:rsidRDefault="00DE0E6F" w:rsidP="00DE0E6F"/>
    <w:p w:rsidR="00DE0E6F" w:rsidRDefault="00DE0E6F" w:rsidP="00DE0E6F">
      <w:r>
        <w:t>- слушание</w:t>
      </w:r>
    </w:p>
    <w:p w:rsidR="00DE0E6F" w:rsidRDefault="00DE0E6F" w:rsidP="00DE0E6F">
      <w:r>
        <w:t xml:space="preserve"> </w:t>
      </w:r>
    </w:p>
    <w:p w:rsidR="00DE0E6F" w:rsidRDefault="00DE0E6F" w:rsidP="00DE0E6F"/>
    <w:p w:rsidR="00DE0E6F" w:rsidRDefault="00DE0E6F" w:rsidP="00DE0E6F">
      <w:r>
        <w:t>- пение</w:t>
      </w:r>
    </w:p>
    <w:p w:rsidR="00DE0E6F" w:rsidRDefault="00DE0E6F" w:rsidP="00DE0E6F">
      <w:r>
        <w:t xml:space="preserve"> </w:t>
      </w:r>
    </w:p>
    <w:p w:rsidR="00DE0E6F" w:rsidRDefault="00DE0E6F" w:rsidP="00DE0E6F"/>
    <w:p w:rsidR="00DE0E6F" w:rsidRDefault="00DE0E6F" w:rsidP="00DE0E6F">
      <w:r>
        <w:t>- песенное творчество</w:t>
      </w:r>
    </w:p>
    <w:p w:rsidR="00DE0E6F" w:rsidRDefault="00DE0E6F" w:rsidP="00DE0E6F">
      <w:r>
        <w:t xml:space="preserve"> </w:t>
      </w:r>
    </w:p>
    <w:p w:rsidR="00DE0E6F" w:rsidRDefault="00DE0E6F" w:rsidP="00DE0E6F"/>
    <w:p w:rsidR="00DE0E6F" w:rsidRDefault="00DE0E6F" w:rsidP="00DE0E6F">
      <w:r>
        <w:t>- музыкально-ритмические движения</w:t>
      </w:r>
    </w:p>
    <w:p w:rsidR="00DE0E6F" w:rsidRDefault="00DE0E6F" w:rsidP="00DE0E6F">
      <w:r>
        <w:t xml:space="preserve"> </w:t>
      </w:r>
    </w:p>
    <w:p w:rsidR="00DE0E6F" w:rsidRDefault="00DE0E6F" w:rsidP="00DE0E6F"/>
    <w:p w:rsidR="00DE0E6F" w:rsidRDefault="00DE0E6F" w:rsidP="00DE0E6F">
      <w:r>
        <w:t>- развитие танцевально-игрового творчества</w:t>
      </w:r>
    </w:p>
    <w:p w:rsidR="00DE0E6F" w:rsidRDefault="00DE0E6F" w:rsidP="00DE0E6F">
      <w:r>
        <w:t xml:space="preserve"> </w:t>
      </w:r>
    </w:p>
    <w:p w:rsidR="00DE0E6F" w:rsidRDefault="00DE0E6F" w:rsidP="00DE0E6F"/>
    <w:p w:rsidR="00DE0E6F" w:rsidRDefault="00DE0E6F" w:rsidP="00DE0E6F">
      <w:r>
        <w:t>- игра на детских музыкальных инструментах</w:t>
      </w:r>
    </w:p>
    <w:p w:rsidR="00891507" w:rsidRDefault="00891507"/>
    <w:sectPr w:rsidR="0089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10"/>
    <w:rsid w:val="00214D5F"/>
    <w:rsid w:val="00291710"/>
    <w:rsid w:val="00891507"/>
    <w:rsid w:val="00D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2E0E5-D45B-474E-B870-37A64566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77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2014-11-13T12:58:00Z</dcterms:created>
  <dcterms:modified xsi:type="dcterms:W3CDTF">2014-11-13T12:58:00Z</dcterms:modified>
</cp:coreProperties>
</file>